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9AF7" w14:textId="6035D2B3" w:rsidR="00171ADA" w:rsidRPr="009F58BF" w:rsidRDefault="00EE1EA3" w:rsidP="009F58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58BF">
        <w:rPr>
          <w:rFonts w:ascii="Arial" w:hAnsi="Arial" w:cs="Arial"/>
          <w:b/>
          <w:bCs/>
          <w:sz w:val="28"/>
          <w:szCs w:val="28"/>
        </w:rPr>
        <w:t xml:space="preserve">Probate Services </w:t>
      </w:r>
      <w:r w:rsidR="009F58BF">
        <w:rPr>
          <w:rFonts w:ascii="Arial" w:hAnsi="Arial" w:cs="Arial"/>
          <w:b/>
          <w:bCs/>
          <w:sz w:val="28"/>
          <w:szCs w:val="28"/>
        </w:rPr>
        <w:t xml:space="preserve">- </w:t>
      </w:r>
      <w:r w:rsidRPr="009F58BF">
        <w:rPr>
          <w:rFonts w:ascii="Arial" w:hAnsi="Arial" w:cs="Arial"/>
          <w:b/>
          <w:bCs/>
          <w:sz w:val="28"/>
          <w:szCs w:val="28"/>
        </w:rPr>
        <w:t>Hourly Rate</w:t>
      </w:r>
    </w:p>
    <w:p w14:paraId="0F678631" w14:textId="34318512" w:rsidR="00EE1EA3" w:rsidRDefault="00EE1EA3" w:rsidP="009F58BF">
      <w:pPr>
        <w:jc w:val="both"/>
        <w:rPr>
          <w:rFonts w:ascii="Arial" w:hAnsi="Arial" w:cs="Arial"/>
          <w:sz w:val="24"/>
          <w:szCs w:val="24"/>
        </w:rPr>
      </w:pPr>
      <w:r w:rsidRPr="009F58BF">
        <w:rPr>
          <w:rFonts w:ascii="Arial" w:hAnsi="Arial" w:cs="Arial"/>
          <w:sz w:val="24"/>
          <w:szCs w:val="24"/>
        </w:rPr>
        <w:t xml:space="preserve">We can assist Executors in obtaining a Grant of Probate and administering the Estate and offer this service at an hourly rate of </w:t>
      </w:r>
      <w:r w:rsidRPr="00BF0234">
        <w:rPr>
          <w:rFonts w:ascii="Arial" w:hAnsi="Arial" w:cs="Arial"/>
          <w:b/>
          <w:bCs/>
          <w:sz w:val="24"/>
          <w:szCs w:val="24"/>
        </w:rPr>
        <w:t>£</w:t>
      </w:r>
      <w:r w:rsidR="009F3F3A">
        <w:rPr>
          <w:rFonts w:ascii="Arial" w:hAnsi="Arial" w:cs="Arial"/>
          <w:b/>
          <w:bCs/>
          <w:sz w:val="24"/>
          <w:szCs w:val="24"/>
        </w:rPr>
        <w:t>235</w:t>
      </w:r>
      <w:r w:rsidRPr="00BF0234">
        <w:rPr>
          <w:rFonts w:ascii="Arial" w:hAnsi="Arial" w:cs="Arial"/>
          <w:b/>
          <w:bCs/>
          <w:sz w:val="24"/>
          <w:szCs w:val="24"/>
        </w:rPr>
        <w:t xml:space="preserve"> plus VAT @ 20% making a total of £</w:t>
      </w:r>
      <w:r w:rsidR="009F3F3A">
        <w:rPr>
          <w:rFonts w:ascii="Arial" w:hAnsi="Arial" w:cs="Arial"/>
          <w:b/>
          <w:bCs/>
          <w:sz w:val="24"/>
          <w:szCs w:val="24"/>
        </w:rPr>
        <w:t>282</w:t>
      </w:r>
      <w:r w:rsidRPr="009F58BF">
        <w:rPr>
          <w:rFonts w:ascii="Arial" w:hAnsi="Arial" w:cs="Arial"/>
          <w:sz w:val="24"/>
          <w:szCs w:val="24"/>
        </w:rPr>
        <w:t xml:space="preserve"> per hour. </w:t>
      </w:r>
      <w:r w:rsidR="009F58BF">
        <w:rPr>
          <w:rFonts w:ascii="Arial" w:hAnsi="Arial" w:cs="Arial"/>
          <w:sz w:val="24"/>
          <w:szCs w:val="24"/>
        </w:rPr>
        <w:t xml:space="preserve"> We only charge you for the time we spend dealing with the estate with no “value” element or percentage uplift.</w:t>
      </w:r>
      <w:r w:rsidR="009C3EE9">
        <w:rPr>
          <w:rFonts w:ascii="Arial" w:hAnsi="Arial" w:cs="Arial"/>
          <w:sz w:val="24"/>
          <w:szCs w:val="24"/>
        </w:rPr>
        <w:t xml:space="preserve">  We will not charge </w:t>
      </w:r>
      <w:r w:rsidR="00146740">
        <w:rPr>
          <w:rFonts w:ascii="Arial" w:hAnsi="Arial" w:cs="Arial"/>
          <w:sz w:val="24"/>
          <w:szCs w:val="24"/>
        </w:rPr>
        <w:t>you for our initial half hour meeting with you.</w:t>
      </w:r>
    </w:p>
    <w:p w14:paraId="1680FB78" w14:textId="2E2D5655" w:rsidR="009F58BF" w:rsidRPr="009F58BF" w:rsidRDefault="00CB332F" w:rsidP="009F5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total fee will depend on the level of involvement and assistance you require from East Devon Law. </w:t>
      </w:r>
      <w:r w:rsidR="009F58BF">
        <w:rPr>
          <w:rFonts w:ascii="Arial" w:hAnsi="Arial" w:cs="Arial"/>
          <w:sz w:val="24"/>
          <w:szCs w:val="24"/>
        </w:rPr>
        <w:t>We aim to work with the Executors to assist them and encourage them to be involved in the process which saves time and consequently money.</w:t>
      </w:r>
    </w:p>
    <w:p w14:paraId="717CCAC4" w14:textId="77777777" w:rsidR="00B845A2" w:rsidRPr="009F58BF" w:rsidRDefault="00B845A2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F58BF">
        <w:rPr>
          <w:rFonts w:ascii="Arial" w:hAnsi="Arial" w:cs="Arial"/>
          <w:b/>
          <w:bCs/>
          <w:sz w:val="24"/>
          <w:szCs w:val="24"/>
        </w:rPr>
        <w:t>What is included:</w:t>
      </w:r>
    </w:p>
    <w:p w14:paraId="6647777D" w14:textId="77777777" w:rsidR="00CB332F" w:rsidRDefault="00B9210A" w:rsidP="009F58BF">
      <w:pPr>
        <w:jc w:val="both"/>
        <w:rPr>
          <w:rFonts w:ascii="Arial" w:hAnsi="Arial" w:cs="Arial"/>
          <w:sz w:val="24"/>
          <w:szCs w:val="24"/>
        </w:rPr>
      </w:pPr>
      <w:r w:rsidRPr="009F58BF">
        <w:rPr>
          <w:rFonts w:ascii="Arial" w:hAnsi="Arial" w:cs="Arial"/>
          <w:sz w:val="24"/>
          <w:szCs w:val="24"/>
        </w:rPr>
        <w:t>Administration of a</w:t>
      </w:r>
      <w:r w:rsidR="00EE1EA3" w:rsidRPr="009F58BF">
        <w:rPr>
          <w:rFonts w:ascii="Arial" w:hAnsi="Arial" w:cs="Arial"/>
          <w:sz w:val="24"/>
          <w:szCs w:val="24"/>
        </w:rPr>
        <w:t xml:space="preserve"> typical estate </w:t>
      </w:r>
      <w:r w:rsidRPr="009F58BF">
        <w:rPr>
          <w:rFonts w:ascii="Arial" w:hAnsi="Arial" w:cs="Arial"/>
          <w:sz w:val="24"/>
          <w:szCs w:val="24"/>
        </w:rPr>
        <w:t>includes</w:t>
      </w:r>
      <w:r w:rsidR="00CB332F">
        <w:rPr>
          <w:rFonts w:ascii="Arial" w:hAnsi="Arial" w:cs="Arial"/>
          <w:sz w:val="24"/>
          <w:szCs w:val="24"/>
        </w:rPr>
        <w:t>:</w:t>
      </w:r>
    </w:p>
    <w:p w14:paraId="1D9F90D1" w14:textId="0618F46D" w:rsidR="00CB332F" w:rsidRPr="009C3EE9" w:rsidRDefault="00CB332F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>Obtaining</w:t>
      </w:r>
      <w:r w:rsidR="00EE1EA3" w:rsidRPr="009C3EE9">
        <w:rPr>
          <w:rFonts w:ascii="Arial" w:hAnsi="Arial" w:cs="Arial"/>
          <w:sz w:val="24"/>
          <w:szCs w:val="24"/>
        </w:rPr>
        <w:t xml:space="preserve"> valuation</w:t>
      </w:r>
      <w:r w:rsidRPr="009C3EE9">
        <w:rPr>
          <w:rFonts w:ascii="Arial" w:hAnsi="Arial" w:cs="Arial"/>
          <w:sz w:val="24"/>
          <w:szCs w:val="24"/>
        </w:rPr>
        <w:t>s</w:t>
      </w:r>
      <w:r w:rsidR="00EE1EA3" w:rsidRPr="009C3EE9">
        <w:rPr>
          <w:rFonts w:ascii="Arial" w:hAnsi="Arial" w:cs="Arial"/>
          <w:sz w:val="24"/>
          <w:szCs w:val="24"/>
        </w:rPr>
        <w:t xml:space="preserve"> of the deceased’s assets</w:t>
      </w:r>
      <w:r w:rsidR="008B4BF5" w:rsidRPr="009C3EE9">
        <w:rPr>
          <w:rFonts w:ascii="Arial" w:hAnsi="Arial" w:cs="Arial"/>
          <w:sz w:val="24"/>
          <w:szCs w:val="24"/>
        </w:rPr>
        <w:t xml:space="preserve"> and liabilities</w:t>
      </w:r>
    </w:p>
    <w:p w14:paraId="66D7F55B" w14:textId="562CF497" w:rsidR="00CB332F" w:rsidRPr="009C3EE9" w:rsidRDefault="00EE1EA3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 xml:space="preserve">preparing the </w:t>
      </w:r>
      <w:r w:rsidR="00146740">
        <w:rPr>
          <w:rFonts w:ascii="Arial" w:hAnsi="Arial" w:cs="Arial"/>
          <w:sz w:val="24"/>
          <w:szCs w:val="24"/>
        </w:rPr>
        <w:t>documents required t</w:t>
      </w:r>
      <w:r w:rsidRPr="009C3EE9">
        <w:rPr>
          <w:rFonts w:ascii="Arial" w:hAnsi="Arial" w:cs="Arial"/>
          <w:sz w:val="24"/>
          <w:szCs w:val="24"/>
        </w:rPr>
        <w:t>o apply for a Grant of Probate (including any Inheritance Tax forms</w:t>
      </w:r>
      <w:r w:rsidR="00B9210A" w:rsidRPr="009C3EE9">
        <w:rPr>
          <w:rFonts w:ascii="Arial" w:hAnsi="Arial" w:cs="Arial"/>
          <w:sz w:val="24"/>
          <w:szCs w:val="24"/>
        </w:rPr>
        <w:t xml:space="preserve"> required</w:t>
      </w:r>
      <w:r w:rsidRPr="009C3EE9">
        <w:rPr>
          <w:rFonts w:ascii="Arial" w:hAnsi="Arial" w:cs="Arial"/>
          <w:sz w:val="24"/>
          <w:szCs w:val="24"/>
        </w:rPr>
        <w:t>)</w:t>
      </w:r>
    </w:p>
    <w:p w14:paraId="60B1F97F" w14:textId="56AAC286" w:rsidR="00CB332F" w:rsidRPr="009C3EE9" w:rsidRDefault="00EE1EA3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>arranging to pay Inheritance Tax on behalf of the Executors</w:t>
      </w:r>
    </w:p>
    <w:p w14:paraId="4F2D61ED" w14:textId="7526B509" w:rsidR="00CB332F" w:rsidRPr="009C3EE9" w:rsidRDefault="00EE1EA3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>applying for the Grant of Probate</w:t>
      </w:r>
    </w:p>
    <w:p w14:paraId="43EFC8C7" w14:textId="1C59722C" w:rsidR="00CB332F" w:rsidRPr="009C3EE9" w:rsidRDefault="00EE1EA3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>registering the Grant with asset holders and calling in assets</w:t>
      </w:r>
      <w:r w:rsidR="00146740">
        <w:rPr>
          <w:rFonts w:ascii="Arial" w:hAnsi="Arial" w:cs="Arial"/>
          <w:sz w:val="24"/>
          <w:szCs w:val="24"/>
        </w:rPr>
        <w:t xml:space="preserve"> and</w:t>
      </w:r>
      <w:r w:rsidRPr="009C3EE9">
        <w:rPr>
          <w:rFonts w:ascii="Arial" w:hAnsi="Arial" w:cs="Arial"/>
          <w:sz w:val="24"/>
          <w:szCs w:val="24"/>
        </w:rPr>
        <w:t xml:space="preserve"> </w:t>
      </w:r>
      <w:r w:rsidR="008B4BF5" w:rsidRPr="009C3EE9">
        <w:rPr>
          <w:rFonts w:ascii="Arial" w:hAnsi="Arial" w:cs="Arial"/>
          <w:sz w:val="24"/>
          <w:szCs w:val="24"/>
        </w:rPr>
        <w:t>paying liabilities</w:t>
      </w:r>
    </w:p>
    <w:p w14:paraId="20856EE5" w14:textId="1354083A" w:rsidR="00CB332F" w:rsidRPr="009C3EE9" w:rsidRDefault="00B9210A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>obtaining an IHT clearance certificate</w:t>
      </w:r>
    </w:p>
    <w:p w14:paraId="178E3232" w14:textId="10E96B6F" w:rsidR="00CB332F" w:rsidRPr="009C3EE9" w:rsidRDefault="00B9210A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>preparing Estate Accounts</w:t>
      </w:r>
    </w:p>
    <w:p w14:paraId="00FB36F6" w14:textId="516C0FAF" w:rsidR="00EE1EA3" w:rsidRPr="009C3EE9" w:rsidRDefault="00B9210A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>distributing the estate assets in accordance with the Will</w:t>
      </w:r>
    </w:p>
    <w:p w14:paraId="11C90F0A" w14:textId="2212FBA8" w:rsidR="00B4419D" w:rsidRPr="009F58BF" w:rsidRDefault="00B4419D" w:rsidP="009F58BF">
      <w:pPr>
        <w:jc w:val="both"/>
        <w:rPr>
          <w:rFonts w:ascii="Arial" w:hAnsi="Arial" w:cs="Arial"/>
          <w:sz w:val="24"/>
          <w:szCs w:val="24"/>
        </w:rPr>
      </w:pPr>
      <w:r w:rsidRPr="009F58BF">
        <w:rPr>
          <w:rFonts w:ascii="Arial" w:hAnsi="Arial" w:cs="Arial"/>
          <w:sz w:val="24"/>
          <w:szCs w:val="24"/>
        </w:rPr>
        <w:t>Additional work will be required if the estate is more complicated.  For example:</w:t>
      </w:r>
    </w:p>
    <w:p w14:paraId="4A83B584" w14:textId="44260A1E" w:rsidR="00B4419D" w:rsidRPr="009C3EE9" w:rsidRDefault="00B4419D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 xml:space="preserve">Estates where there are in excess of </w:t>
      </w:r>
      <w:r w:rsidR="009C3EE9">
        <w:rPr>
          <w:rFonts w:ascii="Arial" w:hAnsi="Arial" w:cs="Arial"/>
          <w:sz w:val="24"/>
          <w:szCs w:val="24"/>
        </w:rPr>
        <w:t>4</w:t>
      </w:r>
      <w:r w:rsidRPr="009C3EE9">
        <w:rPr>
          <w:rFonts w:ascii="Arial" w:hAnsi="Arial" w:cs="Arial"/>
          <w:sz w:val="24"/>
          <w:szCs w:val="24"/>
        </w:rPr>
        <w:t xml:space="preserve"> beneficiaries, or any of the beneficiaries lack capacity under the Mental Health Act or are minors</w:t>
      </w:r>
      <w:r w:rsidR="00BF0234">
        <w:rPr>
          <w:rFonts w:ascii="Arial" w:hAnsi="Arial" w:cs="Arial"/>
          <w:sz w:val="24"/>
          <w:szCs w:val="24"/>
        </w:rPr>
        <w:t xml:space="preserve"> or live overseas</w:t>
      </w:r>
    </w:p>
    <w:p w14:paraId="39D7724E" w14:textId="1DBD9E1B" w:rsidR="00B4419D" w:rsidRPr="009C3EE9" w:rsidRDefault="00B4419D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>Estates where there are missing beneficiaries</w:t>
      </w:r>
    </w:p>
    <w:p w14:paraId="1948DCA6" w14:textId="56AA155E" w:rsidR="00B4419D" w:rsidRPr="009C3EE9" w:rsidRDefault="00B4419D" w:rsidP="009C3E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EE9">
        <w:rPr>
          <w:rFonts w:ascii="Arial" w:hAnsi="Arial" w:cs="Arial"/>
          <w:sz w:val="24"/>
          <w:szCs w:val="24"/>
        </w:rPr>
        <w:t xml:space="preserve">Estates that include the creation of a </w:t>
      </w:r>
      <w:r w:rsidR="00BF0234">
        <w:rPr>
          <w:rFonts w:ascii="Arial" w:hAnsi="Arial" w:cs="Arial"/>
          <w:sz w:val="24"/>
          <w:szCs w:val="24"/>
        </w:rPr>
        <w:t xml:space="preserve">will </w:t>
      </w:r>
      <w:r w:rsidRPr="009C3EE9">
        <w:rPr>
          <w:rFonts w:ascii="Arial" w:hAnsi="Arial" w:cs="Arial"/>
          <w:sz w:val="24"/>
          <w:szCs w:val="24"/>
        </w:rPr>
        <w:t xml:space="preserve">trust </w:t>
      </w:r>
    </w:p>
    <w:p w14:paraId="52FCBA70" w14:textId="4BD17BC7" w:rsidR="009C3EE9" w:rsidRPr="009F58BF" w:rsidRDefault="009C3EE9" w:rsidP="009C3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F58BF">
        <w:rPr>
          <w:rFonts w:ascii="Arial" w:hAnsi="Arial" w:cs="Arial"/>
          <w:sz w:val="24"/>
          <w:szCs w:val="24"/>
        </w:rPr>
        <w:t>ach estate is different, and you will therefore receive a more accurate written estimate once we have further details.</w:t>
      </w:r>
    </w:p>
    <w:p w14:paraId="41B03B47" w14:textId="23F2D6E9" w:rsidR="00B4419D" w:rsidRPr="009F58BF" w:rsidRDefault="00B4419D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F58BF">
        <w:rPr>
          <w:rFonts w:ascii="Arial" w:hAnsi="Arial" w:cs="Arial"/>
          <w:b/>
          <w:bCs/>
          <w:sz w:val="24"/>
          <w:szCs w:val="24"/>
        </w:rPr>
        <w:t xml:space="preserve">Additional </w:t>
      </w:r>
      <w:r w:rsidR="00BF0234">
        <w:rPr>
          <w:rFonts w:ascii="Arial" w:hAnsi="Arial" w:cs="Arial"/>
          <w:b/>
          <w:bCs/>
          <w:sz w:val="24"/>
          <w:szCs w:val="24"/>
        </w:rPr>
        <w:t>Expenses payable to other organisations</w:t>
      </w:r>
    </w:p>
    <w:p w14:paraId="26A990B5" w14:textId="6614CDDE" w:rsidR="00146740" w:rsidRPr="00B13A3E" w:rsidRDefault="00146740" w:rsidP="001467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Hlk30595872"/>
      <w:r w:rsidRPr="00B13A3E">
        <w:rPr>
          <w:rFonts w:ascii="Arial" w:hAnsi="Arial" w:cs="Arial"/>
          <w:sz w:val="24"/>
          <w:szCs w:val="24"/>
          <w:u w:val="single"/>
        </w:rPr>
        <w:t>Electronic ID Verification Fee</w:t>
      </w:r>
      <w:r w:rsidRPr="00B13A3E">
        <w:rPr>
          <w:rFonts w:ascii="Arial" w:hAnsi="Arial" w:cs="Arial"/>
          <w:sz w:val="24"/>
          <w:szCs w:val="24"/>
        </w:rPr>
        <w:t>:  we use a commercial agency to electronically verify your identity.  The fee is £8.</w:t>
      </w:r>
      <w:r w:rsidR="009F3F3A">
        <w:rPr>
          <w:rFonts w:ascii="Arial" w:hAnsi="Arial" w:cs="Arial"/>
          <w:sz w:val="24"/>
          <w:szCs w:val="24"/>
        </w:rPr>
        <w:t>95</w:t>
      </w:r>
      <w:r w:rsidRPr="00B13A3E">
        <w:rPr>
          <w:rFonts w:ascii="Arial" w:hAnsi="Arial" w:cs="Arial"/>
          <w:sz w:val="24"/>
          <w:szCs w:val="24"/>
        </w:rPr>
        <w:t xml:space="preserve"> plus VAT per Executor.</w:t>
      </w:r>
    </w:p>
    <w:p w14:paraId="5221349D" w14:textId="5F00114E" w:rsidR="00146740" w:rsidRPr="00B13A3E" w:rsidRDefault="00146740" w:rsidP="001467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A3E">
        <w:rPr>
          <w:rFonts w:ascii="Arial" w:hAnsi="Arial" w:cs="Arial"/>
          <w:sz w:val="24"/>
          <w:szCs w:val="24"/>
          <w:u w:val="single"/>
        </w:rPr>
        <w:t>Probate Court fees</w:t>
      </w:r>
      <w:r w:rsidRPr="00B13A3E">
        <w:rPr>
          <w:rFonts w:ascii="Arial" w:hAnsi="Arial" w:cs="Arial"/>
          <w:sz w:val="24"/>
          <w:szCs w:val="24"/>
        </w:rPr>
        <w:t>:  these vary according to the value of the estate and whether you make a Personal Application, or it is processed through us.  The current fee for an application made by us is £</w:t>
      </w:r>
      <w:r w:rsidR="00AF28B7">
        <w:rPr>
          <w:rFonts w:ascii="Arial" w:hAnsi="Arial" w:cs="Arial"/>
          <w:sz w:val="24"/>
          <w:szCs w:val="24"/>
        </w:rPr>
        <w:t>273</w:t>
      </w:r>
      <w:r w:rsidRPr="00B13A3E">
        <w:rPr>
          <w:rFonts w:ascii="Arial" w:hAnsi="Arial" w:cs="Arial"/>
          <w:sz w:val="24"/>
          <w:szCs w:val="24"/>
        </w:rPr>
        <w:t xml:space="preserve"> based on an estate with a net value over £5,000. The fee for a Personal Application for probate is </w:t>
      </w:r>
      <w:r w:rsidR="00AF28B7">
        <w:rPr>
          <w:rFonts w:ascii="Arial" w:hAnsi="Arial" w:cs="Arial"/>
          <w:sz w:val="24"/>
          <w:szCs w:val="24"/>
        </w:rPr>
        <w:t>also</w:t>
      </w:r>
      <w:r w:rsidRPr="00B13A3E">
        <w:rPr>
          <w:rFonts w:ascii="Arial" w:hAnsi="Arial" w:cs="Arial"/>
          <w:sz w:val="24"/>
          <w:szCs w:val="24"/>
        </w:rPr>
        <w:t xml:space="preserve"> £2</w:t>
      </w:r>
      <w:r w:rsidR="00AF28B7">
        <w:rPr>
          <w:rFonts w:ascii="Arial" w:hAnsi="Arial" w:cs="Arial"/>
          <w:sz w:val="24"/>
          <w:szCs w:val="24"/>
        </w:rPr>
        <w:t>73</w:t>
      </w:r>
      <w:r w:rsidRPr="00B13A3E">
        <w:rPr>
          <w:rFonts w:ascii="Arial" w:hAnsi="Arial" w:cs="Arial"/>
          <w:sz w:val="24"/>
          <w:szCs w:val="24"/>
        </w:rPr>
        <w:t xml:space="preserve"> for an estate with a net value over £5,000.  Office copy Probate Grants cost £1.50 each in both cases. </w:t>
      </w:r>
    </w:p>
    <w:p w14:paraId="5EEC421A" w14:textId="28B0BBD5" w:rsidR="00146740" w:rsidRDefault="00146740" w:rsidP="001467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A3E">
        <w:rPr>
          <w:rFonts w:ascii="Arial" w:hAnsi="Arial" w:cs="Arial"/>
          <w:sz w:val="24"/>
          <w:szCs w:val="24"/>
          <w:u w:val="single"/>
        </w:rPr>
        <w:t>Land Registry office copy entry fees</w:t>
      </w:r>
      <w:r w:rsidRPr="00B13A3E">
        <w:rPr>
          <w:rFonts w:ascii="Arial" w:hAnsi="Arial" w:cs="Arial"/>
          <w:sz w:val="24"/>
          <w:szCs w:val="24"/>
        </w:rPr>
        <w:t xml:space="preserve">:  These may be required to establish the ownership of a property which forms part of the estate if the title deeds are not available.  Each document costs £3 to obtain from the Land Registry, and we </w:t>
      </w:r>
      <w:r w:rsidRPr="00B13A3E">
        <w:rPr>
          <w:rFonts w:ascii="Arial" w:hAnsi="Arial" w:cs="Arial"/>
          <w:sz w:val="24"/>
          <w:szCs w:val="24"/>
        </w:rPr>
        <w:lastRenderedPageBreak/>
        <w:t>charge a £4 administration fee to cover the downloading and printing costs making a total of £7 per item plus VAT @ 20%.</w:t>
      </w:r>
    </w:p>
    <w:p w14:paraId="1F22B2CC" w14:textId="37B3C9DB" w:rsidR="00146740" w:rsidRDefault="00146740" w:rsidP="001467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5110">
        <w:rPr>
          <w:rFonts w:ascii="Arial" w:hAnsi="Arial" w:cs="Arial"/>
          <w:sz w:val="24"/>
          <w:szCs w:val="24"/>
          <w:u w:val="single"/>
        </w:rPr>
        <w:t>Bankruptcy search fee</w:t>
      </w:r>
      <w:r>
        <w:rPr>
          <w:rFonts w:ascii="Arial" w:hAnsi="Arial" w:cs="Arial"/>
          <w:sz w:val="24"/>
          <w:szCs w:val="24"/>
        </w:rPr>
        <w:t>:</w:t>
      </w:r>
      <w:r w:rsidR="00225110">
        <w:rPr>
          <w:rFonts w:ascii="Arial" w:hAnsi="Arial" w:cs="Arial"/>
          <w:sz w:val="24"/>
          <w:szCs w:val="24"/>
        </w:rPr>
        <w:t xml:space="preserve">  to ensure that a beneficiary is not a bankrupt</w:t>
      </w:r>
      <w:r w:rsidR="00BF0234">
        <w:rPr>
          <w:rFonts w:ascii="Arial" w:hAnsi="Arial" w:cs="Arial"/>
          <w:sz w:val="24"/>
          <w:szCs w:val="24"/>
        </w:rPr>
        <w:t xml:space="preserve"> £2 + VAT</w:t>
      </w:r>
    </w:p>
    <w:p w14:paraId="2388EC10" w14:textId="3EE89310" w:rsidR="00146740" w:rsidRDefault="00146740" w:rsidP="001467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5110">
        <w:rPr>
          <w:rFonts w:ascii="Arial" w:hAnsi="Arial" w:cs="Arial"/>
          <w:sz w:val="24"/>
          <w:szCs w:val="24"/>
          <w:u w:val="single"/>
        </w:rPr>
        <w:t>Trustee Act Statutory Notices</w:t>
      </w:r>
      <w:r>
        <w:rPr>
          <w:rFonts w:ascii="Arial" w:hAnsi="Arial" w:cs="Arial"/>
          <w:sz w:val="24"/>
          <w:szCs w:val="24"/>
        </w:rPr>
        <w:t xml:space="preserve">:  </w:t>
      </w:r>
      <w:r w:rsidR="009E25BF">
        <w:rPr>
          <w:rFonts w:ascii="Arial" w:hAnsi="Arial" w:cs="Arial"/>
          <w:sz w:val="24"/>
          <w:szCs w:val="24"/>
        </w:rPr>
        <w:t>These are to advertise for unknown creditors and will vary in each case and according to the publication used.  Approximately  £250.</w:t>
      </w:r>
    </w:p>
    <w:p w14:paraId="6E96BD9D" w14:textId="76CAE7C6" w:rsidR="00146740" w:rsidRDefault="00146740" w:rsidP="001467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5110">
        <w:rPr>
          <w:rFonts w:ascii="Arial" w:hAnsi="Arial" w:cs="Arial"/>
          <w:sz w:val="24"/>
          <w:szCs w:val="24"/>
          <w:u w:val="single"/>
        </w:rPr>
        <w:t xml:space="preserve">Bank </w:t>
      </w:r>
      <w:r w:rsidR="00194E3D" w:rsidRPr="00225110">
        <w:rPr>
          <w:rFonts w:ascii="Arial" w:hAnsi="Arial" w:cs="Arial"/>
          <w:sz w:val="24"/>
          <w:szCs w:val="24"/>
          <w:u w:val="single"/>
        </w:rPr>
        <w:t xml:space="preserve">electronic </w:t>
      </w:r>
      <w:r w:rsidR="00225110">
        <w:rPr>
          <w:rFonts w:ascii="Arial" w:hAnsi="Arial" w:cs="Arial"/>
          <w:sz w:val="24"/>
          <w:szCs w:val="24"/>
          <w:u w:val="single"/>
        </w:rPr>
        <w:t xml:space="preserve">transfer </w:t>
      </w:r>
      <w:r w:rsidR="00194E3D" w:rsidRPr="00225110">
        <w:rPr>
          <w:rFonts w:ascii="Arial" w:hAnsi="Arial" w:cs="Arial"/>
          <w:sz w:val="24"/>
          <w:szCs w:val="24"/>
          <w:u w:val="single"/>
        </w:rPr>
        <w:t>charges</w:t>
      </w:r>
      <w:r w:rsidR="00194E3D">
        <w:rPr>
          <w:rFonts w:ascii="Arial" w:hAnsi="Arial" w:cs="Arial"/>
          <w:sz w:val="24"/>
          <w:szCs w:val="24"/>
        </w:rPr>
        <w:t>:  These will be charged when a legacy is paid direct to a beneficiary’s bank account</w:t>
      </w:r>
      <w:r w:rsidR="009E25BF">
        <w:rPr>
          <w:rFonts w:ascii="Arial" w:hAnsi="Arial" w:cs="Arial"/>
          <w:sz w:val="24"/>
          <w:szCs w:val="24"/>
        </w:rPr>
        <w:t>.  Free for payments up to £100,000, £42 + VAT if over £100,000 and a</w:t>
      </w:r>
      <w:r w:rsidR="00194E3D">
        <w:rPr>
          <w:rFonts w:ascii="Arial" w:hAnsi="Arial" w:cs="Arial"/>
          <w:sz w:val="24"/>
          <w:szCs w:val="24"/>
        </w:rPr>
        <w:t xml:space="preserve"> telegraphic transfer is </w:t>
      </w:r>
      <w:r w:rsidR="009E25BF">
        <w:rPr>
          <w:rFonts w:ascii="Arial" w:hAnsi="Arial" w:cs="Arial"/>
          <w:sz w:val="24"/>
          <w:szCs w:val="24"/>
        </w:rPr>
        <w:t>requir</w:t>
      </w:r>
      <w:r w:rsidR="00194E3D">
        <w:rPr>
          <w:rFonts w:ascii="Arial" w:hAnsi="Arial" w:cs="Arial"/>
          <w:sz w:val="24"/>
          <w:szCs w:val="24"/>
        </w:rPr>
        <w:t xml:space="preserve">ed.                </w:t>
      </w:r>
    </w:p>
    <w:p w14:paraId="3492CD15" w14:textId="0D1A0DF5" w:rsidR="00194E3D" w:rsidRDefault="00194E3D" w:rsidP="001467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5110">
        <w:rPr>
          <w:rFonts w:ascii="Arial" w:hAnsi="Arial" w:cs="Arial"/>
          <w:sz w:val="24"/>
          <w:szCs w:val="24"/>
          <w:u w:val="single"/>
        </w:rPr>
        <w:t>Photocopying</w:t>
      </w:r>
      <w:r>
        <w:rPr>
          <w:rFonts w:ascii="Arial" w:hAnsi="Arial" w:cs="Arial"/>
          <w:sz w:val="24"/>
          <w:szCs w:val="24"/>
        </w:rPr>
        <w:t>:  we will charge you 10p + VAT per sheet for essential copies.</w:t>
      </w:r>
    </w:p>
    <w:p w14:paraId="3B961D1D" w14:textId="074FAC13" w:rsidR="00194E3D" w:rsidRPr="00B13A3E" w:rsidRDefault="00194E3D" w:rsidP="001467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1" w:name="_Hlk33012378"/>
      <w:r w:rsidRPr="00225110">
        <w:rPr>
          <w:rFonts w:ascii="Arial" w:hAnsi="Arial" w:cs="Arial"/>
          <w:sz w:val="24"/>
          <w:szCs w:val="24"/>
          <w:u w:val="single"/>
        </w:rPr>
        <w:t xml:space="preserve">Royal Mail </w:t>
      </w:r>
      <w:r w:rsidR="009F3F3A">
        <w:rPr>
          <w:rFonts w:ascii="Arial" w:hAnsi="Arial" w:cs="Arial"/>
          <w:sz w:val="24"/>
          <w:szCs w:val="24"/>
          <w:u w:val="single"/>
        </w:rPr>
        <w:t>Special delivery</w:t>
      </w:r>
      <w:r w:rsidRPr="00225110">
        <w:rPr>
          <w:rFonts w:ascii="Arial" w:hAnsi="Arial" w:cs="Arial"/>
          <w:sz w:val="24"/>
          <w:szCs w:val="24"/>
          <w:u w:val="single"/>
        </w:rPr>
        <w:t xml:space="preserve"> fee</w:t>
      </w:r>
      <w:r>
        <w:rPr>
          <w:rFonts w:ascii="Arial" w:hAnsi="Arial" w:cs="Arial"/>
          <w:sz w:val="24"/>
          <w:szCs w:val="24"/>
        </w:rPr>
        <w:t>:  We use this service when sending important original documents</w:t>
      </w:r>
      <w:r w:rsidR="001C3BDA">
        <w:rPr>
          <w:rFonts w:ascii="Arial" w:hAnsi="Arial" w:cs="Arial"/>
          <w:sz w:val="24"/>
          <w:szCs w:val="24"/>
        </w:rPr>
        <w:t xml:space="preserve"> by post</w:t>
      </w:r>
      <w:r>
        <w:rPr>
          <w:rFonts w:ascii="Arial" w:hAnsi="Arial" w:cs="Arial"/>
          <w:sz w:val="24"/>
          <w:szCs w:val="24"/>
        </w:rPr>
        <w:t xml:space="preserve"> </w:t>
      </w:r>
      <w:r w:rsidR="009F3F3A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 xml:space="preserve"> sending the original Will to the Probate Court.</w:t>
      </w:r>
    </w:p>
    <w:bookmarkEnd w:id="0"/>
    <w:bookmarkEnd w:id="1"/>
    <w:p w14:paraId="6998E961" w14:textId="45B18BDE" w:rsidR="001B3DA0" w:rsidRDefault="001B3DA0" w:rsidP="007A6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long it will take</w:t>
      </w:r>
      <w:r w:rsidR="007A6453" w:rsidRPr="007A6453">
        <w:rPr>
          <w:rFonts w:ascii="Arial" w:hAnsi="Arial" w:cs="Arial"/>
          <w:sz w:val="24"/>
          <w:szCs w:val="24"/>
        </w:rPr>
        <w:tab/>
      </w:r>
    </w:p>
    <w:p w14:paraId="1D1BD390" w14:textId="77777777" w:rsidR="00500C9B" w:rsidRDefault="0004686D" w:rsidP="007A6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factors that can affect the amount of work involved and therefore the price so that it will take longer to administer an estate if there are</w:t>
      </w:r>
      <w:r w:rsidR="00500C9B">
        <w:rPr>
          <w:rFonts w:ascii="Arial" w:hAnsi="Arial" w:cs="Arial"/>
          <w:sz w:val="24"/>
          <w:szCs w:val="24"/>
        </w:rPr>
        <w:t>, for example:</w:t>
      </w:r>
    </w:p>
    <w:p w14:paraId="661F7F65" w14:textId="77777777" w:rsidR="00500C9B" w:rsidRDefault="0004686D" w:rsidP="00500C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0C9B">
        <w:rPr>
          <w:rFonts w:ascii="Arial" w:hAnsi="Arial" w:cs="Arial"/>
          <w:sz w:val="24"/>
          <w:szCs w:val="24"/>
        </w:rPr>
        <w:t>multiple beneficiaries</w:t>
      </w:r>
    </w:p>
    <w:p w14:paraId="74BA6D88" w14:textId="77777777" w:rsidR="00500C9B" w:rsidRDefault="0004686D" w:rsidP="00500C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0C9B">
        <w:rPr>
          <w:rFonts w:ascii="Arial" w:hAnsi="Arial" w:cs="Arial"/>
          <w:sz w:val="24"/>
          <w:szCs w:val="24"/>
        </w:rPr>
        <w:t>multiple asset holders</w:t>
      </w:r>
    </w:p>
    <w:p w14:paraId="7686B1C3" w14:textId="77777777" w:rsidR="00500C9B" w:rsidRDefault="0004686D" w:rsidP="00500C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0C9B">
        <w:rPr>
          <w:rFonts w:ascii="Arial" w:hAnsi="Arial" w:cs="Arial"/>
          <w:sz w:val="24"/>
          <w:szCs w:val="24"/>
        </w:rPr>
        <w:t>numerous shareholdings</w:t>
      </w:r>
    </w:p>
    <w:p w14:paraId="26F27DE4" w14:textId="77777777" w:rsidR="00500C9B" w:rsidRDefault="0004686D" w:rsidP="00500C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0C9B">
        <w:rPr>
          <w:rFonts w:ascii="Arial" w:hAnsi="Arial" w:cs="Arial"/>
          <w:sz w:val="24"/>
          <w:szCs w:val="24"/>
        </w:rPr>
        <w:t>property clearance to arrange</w:t>
      </w:r>
    </w:p>
    <w:p w14:paraId="640B4811" w14:textId="77777777" w:rsidR="00500C9B" w:rsidRDefault="0004686D" w:rsidP="00500C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0C9B">
        <w:rPr>
          <w:rFonts w:ascii="Arial" w:hAnsi="Arial" w:cs="Arial"/>
          <w:sz w:val="24"/>
          <w:szCs w:val="24"/>
        </w:rPr>
        <w:t>arranging insurance of a property</w:t>
      </w:r>
    </w:p>
    <w:p w14:paraId="4D371D8A" w14:textId="77777777" w:rsidR="00500C9B" w:rsidRDefault="0004686D" w:rsidP="00500C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0C9B">
        <w:rPr>
          <w:rFonts w:ascii="Arial" w:hAnsi="Arial" w:cs="Arial"/>
          <w:sz w:val="24"/>
          <w:szCs w:val="24"/>
        </w:rPr>
        <w:t>settling utility bills</w:t>
      </w:r>
    </w:p>
    <w:p w14:paraId="65A2C069" w14:textId="77777777" w:rsidR="00500C9B" w:rsidRDefault="0004686D" w:rsidP="00500C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0C9B">
        <w:rPr>
          <w:rFonts w:ascii="Arial" w:hAnsi="Arial" w:cs="Arial"/>
          <w:sz w:val="24"/>
          <w:szCs w:val="24"/>
        </w:rPr>
        <w:t xml:space="preserve">liaising with valuers and estate agents.  </w:t>
      </w:r>
    </w:p>
    <w:p w14:paraId="2C40F0FA" w14:textId="56751B3C" w:rsidR="001B3DA0" w:rsidRPr="00500C9B" w:rsidRDefault="0004686D" w:rsidP="00500C9B">
      <w:pPr>
        <w:jc w:val="both"/>
        <w:rPr>
          <w:rFonts w:ascii="Arial" w:hAnsi="Arial" w:cs="Arial"/>
          <w:sz w:val="24"/>
          <w:szCs w:val="24"/>
        </w:rPr>
      </w:pPr>
      <w:r w:rsidRPr="00500C9B">
        <w:rPr>
          <w:rFonts w:ascii="Arial" w:hAnsi="Arial" w:cs="Arial"/>
          <w:sz w:val="24"/>
          <w:szCs w:val="24"/>
        </w:rPr>
        <w:t>Other factors which may increase the length of time it takes to administer the estate include:</w:t>
      </w:r>
    </w:p>
    <w:p w14:paraId="2517592B" w14:textId="72D175FB" w:rsidR="007A6453" w:rsidRPr="001B3DA0" w:rsidRDefault="007A6453" w:rsidP="001B3D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3DA0">
        <w:rPr>
          <w:rFonts w:ascii="Arial" w:hAnsi="Arial" w:cs="Arial"/>
          <w:sz w:val="24"/>
          <w:szCs w:val="24"/>
        </w:rPr>
        <w:t>High value estates with complex assets</w:t>
      </w:r>
    </w:p>
    <w:p w14:paraId="0BC481F8" w14:textId="6CBF4571" w:rsidR="007A6453" w:rsidRPr="001B3DA0" w:rsidRDefault="007A6453" w:rsidP="001B3D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3DA0">
        <w:rPr>
          <w:rFonts w:ascii="Arial" w:hAnsi="Arial" w:cs="Arial"/>
          <w:sz w:val="24"/>
          <w:szCs w:val="24"/>
        </w:rPr>
        <w:t>Estates where there is no Will (intestacy) or the Will is partly invalid</w:t>
      </w:r>
    </w:p>
    <w:p w14:paraId="0CBAB52E" w14:textId="1FA9A754" w:rsidR="007A6453" w:rsidRPr="001B3DA0" w:rsidRDefault="007A6453" w:rsidP="001B3D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3DA0">
        <w:rPr>
          <w:rFonts w:ascii="Arial" w:hAnsi="Arial" w:cs="Arial"/>
          <w:sz w:val="24"/>
          <w:szCs w:val="24"/>
        </w:rPr>
        <w:t>Estates that include assets located outside of the United Kingdom</w:t>
      </w:r>
    </w:p>
    <w:p w14:paraId="48E66CF2" w14:textId="0643D3F1" w:rsidR="007A6453" w:rsidRPr="001B3DA0" w:rsidRDefault="007A6453" w:rsidP="001B3D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3DA0">
        <w:rPr>
          <w:rFonts w:ascii="Arial" w:hAnsi="Arial" w:cs="Arial"/>
          <w:sz w:val="24"/>
          <w:szCs w:val="24"/>
        </w:rPr>
        <w:t>Estates where the Grant of Probate is likely to be contested.  However, we can provide advice on such cases – please ask for details.</w:t>
      </w:r>
    </w:p>
    <w:p w14:paraId="2B448353" w14:textId="77777777" w:rsidR="00500C9B" w:rsidRDefault="00500C9B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163DCE" w14:textId="765BA920" w:rsidR="00500C9B" w:rsidRPr="005538AB" w:rsidRDefault="005538AB" w:rsidP="009F5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example below assumes that there are no complications:</w:t>
      </w:r>
    </w:p>
    <w:p w14:paraId="3107D6DE" w14:textId="77777777" w:rsidR="00500C9B" w:rsidRDefault="00500C9B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882F75" w14:textId="7B5E9FC1" w:rsidR="00500C9B" w:rsidRDefault="00500C9B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23B23C" w14:textId="0C79A335" w:rsidR="009E25BF" w:rsidRDefault="009E25BF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76E206" w14:textId="77777777" w:rsidR="009E25BF" w:rsidRDefault="009E25BF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D9FEF7" w14:textId="77777777" w:rsidR="00500C9B" w:rsidRDefault="00500C9B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F0A9EA" w14:textId="77777777" w:rsidR="00500C9B" w:rsidRDefault="00500C9B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B84A73" w14:textId="77777777" w:rsidR="009F3F3A" w:rsidRDefault="009F3F3A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5776C5" w14:textId="665DE8C9" w:rsidR="00B9210A" w:rsidRDefault="001C3BDA" w:rsidP="009F58B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Example</w:t>
      </w:r>
    </w:p>
    <w:p w14:paraId="6808C170" w14:textId="4BB9D343" w:rsidR="001C3BDA" w:rsidRPr="001C3BDA" w:rsidRDefault="001C3BDA" w:rsidP="009F5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estate with two Executors named in a valid Will with a net value of </w:t>
      </w:r>
      <w:r w:rsidR="00AE0D4A">
        <w:rPr>
          <w:rFonts w:ascii="Arial" w:hAnsi="Arial" w:cs="Arial"/>
          <w:sz w:val="24"/>
          <w:szCs w:val="24"/>
        </w:rPr>
        <w:t xml:space="preserve">£1,500,000 comprising a property, </w:t>
      </w:r>
      <w:r w:rsidR="003406F7">
        <w:rPr>
          <w:rFonts w:ascii="Arial" w:hAnsi="Arial" w:cs="Arial"/>
          <w:sz w:val="24"/>
          <w:szCs w:val="24"/>
        </w:rPr>
        <w:t>bank accounts, pensions, shares</w:t>
      </w:r>
      <w:r w:rsidR="00814007">
        <w:rPr>
          <w:rFonts w:ascii="Arial" w:hAnsi="Arial" w:cs="Arial"/>
          <w:sz w:val="24"/>
          <w:szCs w:val="24"/>
        </w:rPr>
        <w:t xml:space="preserve">, </w:t>
      </w:r>
      <w:r w:rsidR="00C07ABD">
        <w:rPr>
          <w:rFonts w:ascii="Arial" w:hAnsi="Arial" w:cs="Arial"/>
          <w:sz w:val="24"/>
          <w:szCs w:val="24"/>
        </w:rPr>
        <w:t>six</w:t>
      </w:r>
      <w:r w:rsidR="00F81B2F">
        <w:rPr>
          <w:rFonts w:ascii="Arial" w:hAnsi="Arial" w:cs="Arial"/>
          <w:sz w:val="24"/>
          <w:szCs w:val="24"/>
        </w:rPr>
        <w:t xml:space="preserve"> cash beneficiaries, two residuary beneficiaries and the application for a Grant of Probate is made through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1309"/>
        <w:gridCol w:w="1407"/>
        <w:gridCol w:w="1650"/>
      </w:tblGrid>
      <w:tr w:rsidR="001C3BDA" w:rsidRPr="00C725AD" w14:paraId="2D5F3DE6" w14:textId="77777777" w:rsidTr="001D6FB7">
        <w:tc>
          <w:tcPr>
            <w:tcW w:w="4650" w:type="dxa"/>
          </w:tcPr>
          <w:p w14:paraId="242E866C" w14:textId="77777777" w:rsidR="001C3BDA" w:rsidRPr="00C725AD" w:rsidRDefault="001C3BDA" w:rsidP="005073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7E7AFF5" w14:textId="77777777" w:rsidR="001C3BDA" w:rsidRPr="00C725AD" w:rsidRDefault="001C3BDA" w:rsidP="005073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5AD">
              <w:rPr>
                <w:rFonts w:ascii="Arial" w:hAnsi="Arial" w:cs="Arial"/>
                <w:b/>
                <w:bCs/>
                <w:sz w:val="24"/>
                <w:szCs w:val="24"/>
              </w:rPr>
              <w:t>Fee</w:t>
            </w:r>
          </w:p>
          <w:p w14:paraId="7E5611DB" w14:textId="77777777" w:rsidR="001C3BDA" w:rsidRPr="00C725AD" w:rsidRDefault="001C3BDA" w:rsidP="005073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46F8062E" w14:textId="77777777" w:rsidR="001C3BDA" w:rsidRPr="00C725AD" w:rsidRDefault="001C3BDA" w:rsidP="005073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5AD">
              <w:rPr>
                <w:rFonts w:ascii="Arial" w:hAnsi="Arial" w:cs="Arial"/>
                <w:b/>
                <w:bCs/>
                <w:sz w:val="24"/>
                <w:szCs w:val="24"/>
              </w:rPr>
              <w:t>VAT @ 20%</w:t>
            </w:r>
          </w:p>
        </w:tc>
        <w:tc>
          <w:tcPr>
            <w:tcW w:w="1650" w:type="dxa"/>
            <w:vAlign w:val="center"/>
          </w:tcPr>
          <w:p w14:paraId="3411E3DC" w14:textId="77777777" w:rsidR="001C3BDA" w:rsidRPr="00C725AD" w:rsidRDefault="001C3BDA" w:rsidP="005073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25A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1C3BDA" w14:paraId="6E1426C8" w14:textId="77777777" w:rsidTr="001D6FB7">
        <w:tc>
          <w:tcPr>
            <w:tcW w:w="4650" w:type="dxa"/>
            <w:vAlign w:val="center"/>
          </w:tcPr>
          <w:p w14:paraId="70F7AAD5" w14:textId="3B5C7C1D" w:rsidR="001C3BDA" w:rsidRDefault="004F1E99" w:rsidP="00507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 Devon Law fees: </w:t>
            </w:r>
            <w:r w:rsidR="009948A0">
              <w:rPr>
                <w:rFonts w:ascii="Arial" w:hAnsi="Arial" w:cs="Arial"/>
                <w:sz w:val="24"/>
                <w:szCs w:val="24"/>
              </w:rPr>
              <w:t>Hourly rate fee Chartered Legal Executive @ £</w:t>
            </w:r>
            <w:r w:rsidR="009F3F3A">
              <w:rPr>
                <w:rFonts w:ascii="Arial" w:hAnsi="Arial" w:cs="Arial"/>
                <w:sz w:val="24"/>
                <w:szCs w:val="24"/>
              </w:rPr>
              <w:t>23</w:t>
            </w:r>
            <w:r w:rsidR="009E25BF">
              <w:rPr>
                <w:rFonts w:ascii="Arial" w:hAnsi="Arial" w:cs="Arial"/>
                <w:sz w:val="24"/>
                <w:szCs w:val="24"/>
              </w:rPr>
              <w:t>5</w:t>
            </w:r>
            <w:r w:rsidR="009948A0">
              <w:rPr>
                <w:rFonts w:ascii="Arial" w:hAnsi="Arial" w:cs="Arial"/>
                <w:sz w:val="24"/>
                <w:szCs w:val="24"/>
              </w:rPr>
              <w:t xml:space="preserve"> per hour with estimated time of </w:t>
            </w:r>
            <w:r w:rsidR="001D6FB7">
              <w:rPr>
                <w:rFonts w:ascii="Arial" w:hAnsi="Arial" w:cs="Arial"/>
                <w:sz w:val="24"/>
                <w:szCs w:val="24"/>
              </w:rPr>
              <w:t>8</w:t>
            </w:r>
            <w:r w:rsidR="009948A0">
              <w:rPr>
                <w:rFonts w:ascii="Arial" w:hAnsi="Arial" w:cs="Arial"/>
                <w:sz w:val="24"/>
                <w:szCs w:val="24"/>
              </w:rPr>
              <w:t xml:space="preserve"> hours</w:t>
            </w:r>
          </w:p>
        </w:tc>
        <w:tc>
          <w:tcPr>
            <w:tcW w:w="1309" w:type="dxa"/>
            <w:vAlign w:val="center"/>
          </w:tcPr>
          <w:p w14:paraId="68619201" w14:textId="7C82CBC0" w:rsidR="001C3BDA" w:rsidRDefault="001D6FB7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</w:t>
            </w:r>
            <w:r w:rsidR="009F3F3A">
              <w:rPr>
                <w:rFonts w:ascii="Arial" w:hAnsi="Arial" w:cs="Arial"/>
                <w:sz w:val="24"/>
                <w:szCs w:val="24"/>
              </w:rPr>
              <w:t>88</w:t>
            </w: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07" w:type="dxa"/>
            <w:vAlign w:val="center"/>
          </w:tcPr>
          <w:p w14:paraId="022B2E79" w14:textId="0E179D86" w:rsidR="001C3BDA" w:rsidRDefault="001D6FB7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  <w:r w:rsidR="009F3F3A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650" w:type="dxa"/>
            <w:vAlign w:val="center"/>
          </w:tcPr>
          <w:p w14:paraId="4DA27FF8" w14:textId="4E60F4DA" w:rsidR="001C3BDA" w:rsidRDefault="001D6FB7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F3F3A">
              <w:rPr>
                <w:rFonts w:ascii="Arial" w:hAnsi="Arial" w:cs="Arial"/>
                <w:sz w:val="24"/>
                <w:szCs w:val="24"/>
              </w:rPr>
              <w:t>2,256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C3BDA" w14:paraId="60241138" w14:textId="77777777" w:rsidTr="001D6FB7">
        <w:tc>
          <w:tcPr>
            <w:tcW w:w="4650" w:type="dxa"/>
            <w:vAlign w:val="center"/>
          </w:tcPr>
          <w:p w14:paraId="70010C74" w14:textId="77777777" w:rsidR="001C3BDA" w:rsidRDefault="009948A0" w:rsidP="00507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ID Verification Fee</w:t>
            </w:r>
          </w:p>
          <w:p w14:paraId="029C361F" w14:textId="328D40F0" w:rsidR="009948A0" w:rsidRDefault="009948A0" w:rsidP="00507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DD4F22B" w14:textId="687BFA36" w:rsidR="001C3BDA" w:rsidRDefault="009948A0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£17.</w:t>
            </w:r>
            <w:r w:rsidR="009F3F3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7" w:type="dxa"/>
            <w:vAlign w:val="center"/>
          </w:tcPr>
          <w:p w14:paraId="2D5B2A3A" w14:textId="64C2D6C4" w:rsidR="001C3BDA" w:rsidRDefault="009948A0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£3.</w:t>
            </w:r>
            <w:r w:rsidR="009F3F3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650" w:type="dxa"/>
            <w:vAlign w:val="center"/>
          </w:tcPr>
          <w:p w14:paraId="1D6FABF1" w14:textId="3C9B6601" w:rsidR="001C3BDA" w:rsidRDefault="009948A0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</w:t>
            </w:r>
            <w:r w:rsidR="009F3F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.4</w:t>
            </w:r>
            <w:r w:rsidR="009F3F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C3BDA" w14:paraId="06E6AD5C" w14:textId="77777777" w:rsidTr="001D6FB7">
        <w:tc>
          <w:tcPr>
            <w:tcW w:w="4650" w:type="dxa"/>
            <w:vAlign w:val="center"/>
          </w:tcPr>
          <w:p w14:paraId="7ABD0831" w14:textId="77777777" w:rsidR="001C3BDA" w:rsidRDefault="009948A0" w:rsidP="00507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Registry office copy entry fee</w:t>
            </w:r>
          </w:p>
          <w:p w14:paraId="66536AEF" w14:textId="5870CEDE" w:rsidR="009948A0" w:rsidRDefault="009948A0" w:rsidP="00507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93A2D90" w14:textId="33E0484F" w:rsidR="001C3BDA" w:rsidRDefault="009948A0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£7.00</w:t>
            </w:r>
          </w:p>
        </w:tc>
        <w:tc>
          <w:tcPr>
            <w:tcW w:w="1407" w:type="dxa"/>
            <w:vAlign w:val="center"/>
          </w:tcPr>
          <w:p w14:paraId="37F2C5E1" w14:textId="3AA605E5" w:rsidR="001C3BDA" w:rsidRDefault="009948A0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£1.40</w:t>
            </w:r>
          </w:p>
        </w:tc>
        <w:tc>
          <w:tcPr>
            <w:tcW w:w="1650" w:type="dxa"/>
            <w:vAlign w:val="center"/>
          </w:tcPr>
          <w:p w14:paraId="779E1709" w14:textId="4449A5F7" w:rsidR="001C3BDA" w:rsidRDefault="009948A0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£8.40</w:t>
            </w:r>
          </w:p>
        </w:tc>
      </w:tr>
      <w:tr w:rsidR="001C3BDA" w14:paraId="4D26A963" w14:textId="77777777" w:rsidTr="001D6FB7">
        <w:tc>
          <w:tcPr>
            <w:tcW w:w="4650" w:type="dxa"/>
            <w:vAlign w:val="center"/>
          </w:tcPr>
          <w:p w14:paraId="61D46F20" w14:textId="423DDAB3" w:rsidR="001C3BDA" w:rsidRDefault="004F1E99" w:rsidP="00507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Royal Mail </w:t>
            </w:r>
            <w:r w:rsidR="009F3F3A">
              <w:rPr>
                <w:rFonts w:ascii="Arial" w:hAnsi="Arial" w:cs="Arial"/>
                <w:sz w:val="24"/>
                <w:szCs w:val="24"/>
              </w:rPr>
              <w:t>Special Delivery</w:t>
            </w:r>
            <w:r>
              <w:rPr>
                <w:rFonts w:ascii="Arial" w:hAnsi="Arial" w:cs="Arial"/>
                <w:sz w:val="24"/>
                <w:szCs w:val="24"/>
              </w:rPr>
              <w:t xml:space="preserve"> fee</w:t>
            </w:r>
          </w:p>
          <w:p w14:paraId="2B5B4944" w14:textId="75553B64" w:rsidR="004F1E99" w:rsidRDefault="004F1E99" w:rsidP="00507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681686B3" w14:textId="771C12B1" w:rsidR="001C3BDA" w:rsidRDefault="004F1E99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F3F3A">
              <w:rPr>
                <w:rFonts w:ascii="Arial" w:hAnsi="Arial" w:cs="Arial"/>
                <w:sz w:val="24"/>
                <w:szCs w:val="24"/>
              </w:rPr>
              <w:t>6.85</w:t>
            </w:r>
          </w:p>
        </w:tc>
        <w:tc>
          <w:tcPr>
            <w:tcW w:w="1407" w:type="dxa"/>
            <w:vAlign w:val="center"/>
          </w:tcPr>
          <w:p w14:paraId="433A686E" w14:textId="08C75738" w:rsidR="001C3BDA" w:rsidRDefault="004F1E99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F3F3A"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1650" w:type="dxa"/>
            <w:vAlign w:val="center"/>
          </w:tcPr>
          <w:p w14:paraId="32C510EA" w14:textId="3EF97C61" w:rsidR="001C3BDA" w:rsidRDefault="004F1E99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F3F3A">
              <w:rPr>
                <w:rFonts w:ascii="Arial" w:hAnsi="Arial" w:cs="Arial"/>
                <w:sz w:val="24"/>
                <w:szCs w:val="24"/>
              </w:rPr>
              <w:t>8.22</w:t>
            </w:r>
          </w:p>
        </w:tc>
      </w:tr>
      <w:tr w:rsidR="001C3BDA" w14:paraId="2545B373" w14:textId="77777777" w:rsidTr="001D6FB7">
        <w:tc>
          <w:tcPr>
            <w:tcW w:w="4650" w:type="dxa"/>
            <w:vAlign w:val="center"/>
          </w:tcPr>
          <w:p w14:paraId="186300D0" w14:textId="77777777" w:rsidR="001C3BDA" w:rsidRDefault="004F1E99" w:rsidP="00507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Probate Court fee</w:t>
            </w:r>
          </w:p>
          <w:p w14:paraId="480015BA" w14:textId="3FF2AE27" w:rsidR="007A6453" w:rsidRDefault="007A6453" w:rsidP="00507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64E6A98" w14:textId="47853EED" w:rsidR="001C3BDA" w:rsidRDefault="009E25BF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AF28B7">
              <w:rPr>
                <w:rFonts w:ascii="Arial" w:hAnsi="Arial" w:cs="Arial"/>
                <w:sz w:val="24"/>
                <w:szCs w:val="24"/>
              </w:rPr>
              <w:t>273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407" w:type="dxa"/>
            <w:vAlign w:val="center"/>
          </w:tcPr>
          <w:p w14:paraId="495C23E2" w14:textId="4328417A" w:rsidR="001C3BDA" w:rsidRDefault="009E25BF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0" w:type="dxa"/>
            <w:vAlign w:val="center"/>
          </w:tcPr>
          <w:p w14:paraId="6ED966B2" w14:textId="63A8B38C" w:rsidR="001C3BDA" w:rsidRDefault="009E25BF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AF28B7">
              <w:rPr>
                <w:rFonts w:ascii="Arial" w:hAnsi="Arial" w:cs="Arial"/>
                <w:sz w:val="24"/>
                <w:szCs w:val="24"/>
              </w:rPr>
              <w:t>273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C3BDA" w14:paraId="625EF90A" w14:textId="77777777" w:rsidTr="001D6FB7">
        <w:tc>
          <w:tcPr>
            <w:tcW w:w="4650" w:type="dxa"/>
            <w:vAlign w:val="center"/>
          </w:tcPr>
          <w:p w14:paraId="031F5420" w14:textId="77777777" w:rsidR="001C3BDA" w:rsidRDefault="004F1E99" w:rsidP="00507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Six office copies of the Probate Grant</w:t>
            </w:r>
          </w:p>
          <w:p w14:paraId="30F13801" w14:textId="0E2A2D7A" w:rsidR="00814007" w:rsidRDefault="00814007" w:rsidP="00507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0FE4E03" w14:textId="6825DC70" w:rsidR="001C3BDA" w:rsidRDefault="00C07ABD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74628">
              <w:rPr>
                <w:rFonts w:ascii="Arial" w:hAnsi="Arial" w:cs="Arial"/>
                <w:sz w:val="24"/>
                <w:szCs w:val="24"/>
              </w:rPr>
              <w:t>1.50</w:t>
            </w:r>
            <w:r w:rsidR="00467399">
              <w:rPr>
                <w:rFonts w:ascii="Arial" w:hAnsi="Arial" w:cs="Arial"/>
                <w:sz w:val="24"/>
                <w:szCs w:val="24"/>
              </w:rPr>
              <w:t xml:space="preserve"> each</w:t>
            </w:r>
          </w:p>
        </w:tc>
        <w:tc>
          <w:tcPr>
            <w:tcW w:w="1407" w:type="dxa"/>
            <w:vAlign w:val="center"/>
          </w:tcPr>
          <w:p w14:paraId="2703A627" w14:textId="48D8D026" w:rsidR="001C3BDA" w:rsidRDefault="00C07ABD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0" w:type="dxa"/>
            <w:vAlign w:val="center"/>
          </w:tcPr>
          <w:p w14:paraId="5209F092" w14:textId="73103782" w:rsidR="001C3BDA" w:rsidRDefault="00C07ABD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£9.00</w:t>
            </w:r>
          </w:p>
        </w:tc>
      </w:tr>
      <w:tr w:rsidR="00F3797C" w14:paraId="194A9D0D" w14:textId="77777777" w:rsidTr="001D6FB7">
        <w:tc>
          <w:tcPr>
            <w:tcW w:w="4650" w:type="dxa"/>
            <w:vAlign w:val="center"/>
          </w:tcPr>
          <w:p w14:paraId="241D3B4F" w14:textId="4B620CF1" w:rsidR="00F3797C" w:rsidRDefault="00225110" w:rsidP="00507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Bankruptcy search fee</w:t>
            </w:r>
            <w:r w:rsidR="009E25BF">
              <w:rPr>
                <w:rFonts w:ascii="Arial" w:hAnsi="Arial" w:cs="Arial"/>
                <w:sz w:val="24"/>
                <w:szCs w:val="24"/>
              </w:rPr>
              <w:t xml:space="preserve"> (6 beneficiaries)</w:t>
            </w:r>
          </w:p>
          <w:p w14:paraId="663408BB" w14:textId="478A6A4F" w:rsidR="00225110" w:rsidRDefault="00225110" w:rsidP="00507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53FD781" w14:textId="214C58C3" w:rsidR="00F3797C" w:rsidRDefault="009E25BF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£12.00</w:t>
            </w:r>
          </w:p>
        </w:tc>
        <w:tc>
          <w:tcPr>
            <w:tcW w:w="1407" w:type="dxa"/>
            <w:vAlign w:val="center"/>
          </w:tcPr>
          <w:p w14:paraId="2D3B6D72" w14:textId="25FF7873" w:rsidR="00F3797C" w:rsidRDefault="009E25BF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£2.40</w:t>
            </w:r>
          </w:p>
        </w:tc>
        <w:tc>
          <w:tcPr>
            <w:tcW w:w="1650" w:type="dxa"/>
            <w:vAlign w:val="center"/>
          </w:tcPr>
          <w:p w14:paraId="5BE2725F" w14:textId="584BDEEF" w:rsidR="00F3797C" w:rsidRDefault="009E25BF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£14.40</w:t>
            </w:r>
          </w:p>
        </w:tc>
      </w:tr>
      <w:tr w:rsidR="00F3797C" w14:paraId="482B0971" w14:textId="77777777" w:rsidTr="001D6FB7">
        <w:tc>
          <w:tcPr>
            <w:tcW w:w="4650" w:type="dxa"/>
            <w:vAlign w:val="center"/>
          </w:tcPr>
          <w:p w14:paraId="2DC7ED4C" w14:textId="1703644C" w:rsidR="00F3797C" w:rsidRDefault="00225110" w:rsidP="00507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Act Statutory Notices</w:t>
            </w:r>
            <w:r w:rsidR="009E25BF">
              <w:rPr>
                <w:rFonts w:ascii="Arial" w:hAnsi="Arial" w:cs="Arial"/>
                <w:sz w:val="24"/>
                <w:szCs w:val="24"/>
              </w:rPr>
              <w:t xml:space="preserve"> (approximate fee)</w:t>
            </w:r>
          </w:p>
          <w:p w14:paraId="65C0F9A4" w14:textId="337F17FC" w:rsidR="00225110" w:rsidRDefault="00225110" w:rsidP="00507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735EBEF" w14:textId="707FB089" w:rsidR="00F3797C" w:rsidRDefault="009E25BF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£250.00</w:t>
            </w:r>
          </w:p>
        </w:tc>
        <w:tc>
          <w:tcPr>
            <w:tcW w:w="1407" w:type="dxa"/>
            <w:vAlign w:val="center"/>
          </w:tcPr>
          <w:p w14:paraId="2AA9041F" w14:textId="185F6FF9" w:rsidR="00F3797C" w:rsidRDefault="009E25BF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  <w:tc>
          <w:tcPr>
            <w:tcW w:w="1650" w:type="dxa"/>
            <w:vAlign w:val="center"/>
          </w:tcPr>
          <w:p w14:paraId="310FDA00" w14:textId="5FF64DFD" w:rsidR="00F3797C" w:rsidRDefault="009E25BF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£300.00</w:t>
            </w:r>
          </w:p>
        </w:tc>
      </w:tr>
      <w:tr w:rsidR="00F3797C" w14:paraId="5C953B1F" w14:textId="77777777" w:rsidTr="001D6FB7">
        <w:tc>
          <w:tcPr>
            <w:tcW w:w="4650" w:type="dxa"/>
            <w:vAlign w:val="center"/>
          </w:tcPr>
          <w:p w14:paraId="752423ED" w14:textId="7944907A" w:rsidR="00F3797C" w:rsidRDefault="00225110" w:rsidP="005073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Photocopying 20 sheets </w:t>
            </w:r>
            <w:r w:rsidR="009E25BF">
              <w:rPr>
                <w:rFonts w:ascii="Arial" w:hAnsi="Arial" w:cs="Arial"/>
                <w:sz w:val="24"/>
                <w:szCs w:val="24"/>
              </w:rPr>
              <w:t>for Probate application</w:t>
            </w:r>
          </w:p>
          <w:p w14:paraId="54AA3F3B" w14:textId="6AB677F0" w:rsidR="00225110" w:rsidRDefault="00225110" w:rsidP="00507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2489DF1" w14:textId="65AED23A" w:rsidR="00F3797C" w:rsidRDefault="00225110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£2.00</w:t>
            </w:r>
          </w:p>
        </w:tc>
        <w:tc>
          <w:tcPr>
            <w:tcW w:w="1407" w:type="dxa"/>
            <w:vAlign w:val="center"/>
          </w:tcPr>
          <w:p w14:paraId="56DFE26B" w14:textId="5A8B0581" w:rsidR="00F3797C" w:rsidRDefault="00225110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£0.40</w:t>
            </w:r>
          </w:p>
        </w:tc>
        <w:tc>
          <w:tcPr>
            <w:tcW w:w="1650" w:type="dxa"/>
            <w:vAlign w:val="center"/>
          </w:tcPr>
          <w:p w14:paraId="65FE01BA" w14:textId="731EA919" w:rsidR="00F3797C" w:rsidRDefault="00225110" w:rsidP="005073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£2.40</w:t>
            </w:r>
          </w:p>
        </w:tc>
      </w:tr>
      <w:tr w:rsidR="001C3BDA" w14:paraId="39B2DC8E" w14:textId="77777777" w:rsidTr="001D6FB7">
        <w:tc>
          <w:tcPr>
            <w:tcW w:w="4650" w:type="dxa"/>
            <w:vAlign w:val="center"/>
          </w:tcPr>
          <w:p w14:paraId="329E41DF" w14:textId="77777777" w:rsidR="001C3BDA" w:rsidRDefault="001C3BDA" w:rsidP="00507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14:paraId="7C51D077" w14:textId="60C0B26B" w:rsidR="001C3BDA" w:rsidRPr="00C725AD" w:rsidRDefault="00F3797C" w:rsidP="005073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estimated cost including VAT</w:t>
            </w:r>
          </w:p>
        </w:tc>
        <w:tc>
          <w:tcPr>
            <w:tcW w:w="1650" w:type="dxa"/>
            <w:vAlign w:val="center"/>
          </w:tcPr>
          <w:p w14:paraId="69B757DE" w14:textId="4A4B8845" w:rsidR="001C3BDA" w:rsidRPr="00C725AD" w:rsidRDefault="001D6FB7" w:rsidP="0050735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£2,</w:t>
            </w:r>
            <w:r w:rsidR="00AF28B7">
              <w:rPr>
                <w:rFonts w:ascii="Arial" w:hAnsi="Arial" w:cs="Arial"/>
                <w:b/>
                <w:bCs/>
                <w:sz w:val="24"/>
                <w:szCs w:val="24"/>
              </w:rPr>
              <w:t>892</w:t>
            </w:r>
            <w:r w:rsidR="009F3F3A">
              <w:rPr>
                <w:rFonts w:ascii="Arial" w:hAnsi="Arial" w:cs="Arial"/>
                <w:b/>
                <w:bCs/>
                <w:sz w:val="24"/>
                <w:szCs w:val="24"/>
              </w:rPr>
              <w:t>.90</w:t>
            </w:r>
          </w:p>
        </w:tc>
      </w:tr>
    </w:tbl>
    <w:p w14:paraId="1DC4058F" w14:textId="41C2946A" w:rsidR="001C3BDA" w:rsidRDefault="001C3BDA" w:rsidP="001C3BDA">
      <w:pPr>
        <w:jc w:val="both"/>
        <w:rPr>
          <w:rFonts w:ascii="Arial" w:hAnsi="Arial" w:cs="Arial"/>
          <w:sz w:val="24"/>
          <w:szCs w:val="24"/>
        </w:rPr>
      </w:pPr>
    </w:p>
    <w:p w14:paraId="651CF861" w14:textId="77777777" w:rsidR="00F17A86" w:rsidRPr="00F17A86" w:rsidRDefault="00F17A86" w:rsidP="00F17A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Inheritance Tax may be payable.  Further information can be found at </w:t>
      </w:r>
      <w:hyperlink r:id="rId7" w:history="1">
        <w:r w:rsidRPr="00072B93">
          <w:rPr>
            <w:rStyle w:val="Hyperlink"/>
            <w:rFonts w:ascii="Arial" w:hAnsi="Arial" w:cs="Arial"/>
            <w:sz w:val="24"/>
            <w:szCs w:val="24"/>
          </w:rPr>
          <w:t>www.gov.uk</w:t>
        </w:r>
      </w:hyperlink>
      <w:r>
        <w:rPr>
          <w:rFonts w:ascii="Arial" w:hAnsi="Arial" w:cs="Arial"/>
          <w:sz w:val="24"/>
          <w:szCs w:val="24"/>
        </w:rPr>
        <w:t xml:space="preserve"> . </w:t>
      </w:r>
    </w:p>
    <w:p w14:paraId="25B02E15" w14:textId="77777777" w:rsidR="00AE0D4A" w:rsidRDefault="001C3BDA" w:rsidP="001C3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this is an example of a typical estate and there may be additional costs not covered here.  These include</w:t>
      </w:r>
      <w:r w:rsidR="00AE0D4A">
        <w:rPr>
          <w:rFonts w:ascii="Arial" w:hAnsi="Arial" w:cs="Arial"/>
          <w:sz w:val="24"/>
          <w:szCs w:val="24"/>
        </w:rPr>
        <w:t>:</w:t>
      </w:r>
    </w:p>
    <w:p w14:paraId="023AED49" w14:textId="7A61367F" w:rsidR="00AE0D4A" w:rsidRDefault="00AE0D4A" w:rsidP="00AE0D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C3BDA" w:rsidRPr="00AE0D4A">
        <w:rPr>
          <w:rFonts w:ascii="Arial" w:hAnsi="Arial" w:cs="Arial"/>
          <w:sz w:val="24"/>
          <w:szCs w:val="24"/>
        </w:rPr>
        <w:t>ees payable to a surveyor</w:t>
      </w:r>
      <w:r w:rsidR="001D6FB7">
        <w:rPr>
          <w:rFonts w:ascii="Arial" w:hAnsi="Arial" w:cs="Arial"/>
          <w:sz w:val="24"/>
          <w:szCs w:val="24"/>
        </w:rPr>
        <w:t>/valuer</w:t>
      </w:r>
      <w:r w:rsidR="001C3BDA" w:rsidRPr="00AE0D4A">
        <w:rPr>
          <w:rFonts w:ascii="Arial" w:hAnsi="Arial" w:cs="Arial"/>
          <w:sz w:val="24"/>
          <w:szCs w:val="24"/>
        </w:rPr>
        <w:t xml:space="preserve"> to obtain a valuation of the property</w:t>
      </w:r>
    </w:p>
    <w:p w14:paraId="04160DDA" w14:textId="45E07B94" w:rsidR="001C3BDA" w:rsidRDefault="00AE0D4A" w:rsidP="00AE0D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C3BDA" w:rsidRPr="00AE0D4A">
        <w:rPr>
          <w:rFonts w:ascii="Arial" w:hAnsi="Arial" w:cs="Arial"/>
          <w:sz w:val="24"/>
          <w:szCs w:val="24"/>
        </w:rPr>
        <w:t xml:space="preserve">ees payable to an accountant </w:t>
      </w:r>
      <w:r>
        <w:rPr>
          <w:rFonts w:ascii="Arial" w:hAnsi="Arial" w:cs="Arial"/>
          <w:sz w:val="24"/>
          <w:szCs w:val="24"/>
        </w:rPr>
        <w:t>for dealing with the deceased’s tax affairs</w:t>
      </w:r>
    </w:p>
    <w:p w14:paraId="4FF1B76E" w14:textId="280CF90B" w:rsidR="00AE0D4A" w:rsidRDefault="00AE0D4A" w:rsidP="00AE0D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Conveyancing fees for the sale or transfer of a property </w:t>
      </w:r>
    </w:p>
    <w:p w14:paraId="485BCC6A" w14:textId="14DD2D27" w:rsidR="00AE0D4A" w:rsidRPr="00AE0D4A" w:rsidRDefault="001D6FB7" w:rsidP="00AE0D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Fees payable to a stockbroker to value listed shareholdings</w:t>
      </w:r>
    </w:p>
    <w:p w14:paraId="789109A2" w14:textId="77777777" w:rsidR="001C3BDA" w:rsidRPr="001C3BDA" w:rsidRDefault="001C3BDA" w:rsidP="009F58BF">
      <w:pPr>
        <w:jc w:val="both"/>
        <w:rPr>
          <w:rFonts w:ascii="Arial" w:hAnsi="Arial" w:cs="Arial"/>
          <w:sz w:val="24"/>
          <w:szCs w:val="24"/>
        </w:rPr>
      </w:pPr>
    </w:p>
    <w:p w14:paraId="6680F455" w14:textId="77777777" w:rsidR="00EE1EA3" w:rsidRPr="009F58BF" w:rsidRDefault="00EE1EA3" w:rsidP="009F58BF">
      <w:pPr>
        <w:jc w:val="both"/>
        <w:rPr>
          <w:rFonts w:ascii="Arial" w:hAnsi="Arial" w:cs="Arial"/>
          <w:sz w:val="24"/>
          <w:szCs w:val="24"/>
        </w:rPr>
      </w:pPr>
    </w:p>
    <w:sectPr w:rsidR="00EE1EA3" w:rsidRPr="009F58B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D2C1" w14:textId="77777777" w:rsidR="009F3F3A" w:rsidRDefault="009F3F3A" w:rsidP="009F3F3A">
      <w:pPr>
        <w:spacing w:after="0" w:line="240" w:lineRule="auto"/>
      </w:pPr>
      <w:r>
        <w:separator/>
      </w:r>
    </w:p>
  </w:endnote>
  <w:endnote w:type="continuationSeparator" w:id="0">
    <w:p w14:paraId="67729AAA" w14:textId="77777777" w:rsidR="009F3F3A" w:rsidRDefault="009F3F3A" w:rsidP="009F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5999" w14:textId="3CE472DB" w:rsidR="009F3F3A" w:rsidRDefault="00E044B6">
    <w:pPr>
      <w:pStyle w:val="Footer"/>
    </w:pPr>
    <w:r>
      <w:t>Jan2022</w:t>
    </w:r>
    <w:r w:rsidR="009F3F3A">
      <w:t xml:space="preserve"> </w:t>
    </w:r>
  </w:p>
  <w:p w14:paraId="11B2C645" w14:textId="77777777" w:rsidR="009F3F3A" w:rsidRDefault="009F3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31A7" w14:textId="77777777" w:rsidR="009F3F3A" w:rsidRDefault="009F3F3A" w:rsidP="009F3F3A">
      <w:pPr>
        <w:spacing w:after="0" w:line="240" w:lineRule="auto"/>
      </w:pPr>
      <w:r>
        <w:separator/>
      </w:r>
    </w:p>
  </w:footnote>
  <w:footnote w:type="continuationSeparator" w:id="0">
    <w:p w14:paraId="2E54E899" w14:textId="77777777" w:rsidR="009F3F3A" w:rsidRDefault="009F3F3A" w:rsidP="009F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2DE"/>
    <w:multiLevelType w:val="hybridMultilevel"/>
    <w:tmpl w:val="06D8F8C8"/>
    <w:lvl w:ilvl="0" w:tplc="798C7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772B"/>
    <w:multiLevelType w:val="hybridMultilevel"/>
    <w:tmpl w:val="FE0A7F42"/>
    <w:lvl w:ilvl="0" w:tplc="27E4A8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A3"/>
    <w:rsid w:val="0004686D"/>
    <w:rsid w:val="000D3E6E"/>
    <w:rsid w:val="00146740"/>
    <w:rsid w:val="0014694C"/>
    <w:rsid w:val="00194E3D"/>
    <w:rsid w:val="001B3DA0"/>
    <w:rsid w:val="001C1404"/>
    <w:rsid w:val="001C3BDA"/>
    <w:rsid w:val="001D6FB7"/>
    <w:rsid w:val="00225110"/>
    <w:rsid w:val="003406F7"/>
    <w:rsid w:val="00374628"/>
    <w:rsid w:val="00467399"/>
    <w:rsid w:val="004F1E99"/>
    <w:rsid w:val="00500C9B"/>
    <w:rsid w:val="00505F99"/>
    <w:rsid w:val="0051309E"/>
    <w:rsid w:val="005538AB"/>
    <w:rsid w:val="006776D0"/>
    <w:rsid w:val="00746781"/>
    <w:rsid w:val="007A5D0E"/>
    <w:rsid w:val="007A6453"/>
    <w:rsid w:val="007F225E"/>
    <w:rsid w:val="00814007"/>
    <w:rsid w:val="008B4BF5"/>
    <w:rsid w:val="009948A0"/>
    <w:rsid w:val="009C3EE9"/>
    <w:rsid w:val="009E25BF"/>
    <w:rsid w:val="009F3F3A"/>
    <w:rsid w:val="009F58BF"/>
    <w:rsid w:val="00AE0D4A"/>
    <w:rsid w:val="00AF28B7"/>
    <w:rsid w:val="00B1343B"/>
    <w:rsid w:val="00B4419D"/>
    <w:rsid w:val="00B845A2"/>
    <w:rsid w:val="00B9210A"/>
    <w:rsid w:val="00BF0234"/>
    <w:rsid w:val="00C07ABD"/>
    <w:rsid w:val="00CB332F"/>
    <w:rsid w:val="00CB5EAC"/>
    <w:rsid w:val="00CC0EEE"/>
    <w:rsid w:val="00E044B6"/>
    <w:rsid w:val="00EE1EA3"/>
    <w:rsid w:val="00F17A86"/>
    <w:rsid w:val="00F3797C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A45C"/>
  <w15:chartTrackingRefBased/>
  <w15:docId w15:val="{B7554FB5-8F46-4D24-ADC0-63BD6BF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E9"/>
    <w:pPr>
      <w:ind w:left="720"/>
      <w:contextualSpacing/>
    </w:pPr>
  </w:style>
  <w:style w:type="table" w:styleId="TableGrid">
    <w:name w:val="Table Grid"/>
    <w:basedOn w:val="TableNormal"/>
    <w:uiPriority w:val="39"/>
    <w:rsid w:val="001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3A"/>
  </w:style>
  <w:style w:type="paragraph" w:styleId="Footer">
    <w:name w:val="footer"/>
    <w:basedOn w:val="Normal"/>
    <w:link w:val="FooterChar"/>
    <w:uiPriority w:val="99"/>
    <w:unhideWhenUsed/>
    <w:rsid w:val="009F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Hunt</dc:creator>
  <cp:keywords/>
  <dc:description/>
  <cp:lastModifiedBy>Advice</cp:lastModifiedBy>
  <cp:revision>19</cp:revision>
  <cp:lastPrinted>2020-02-19T14:18:00Z</cp:lastPrinted>
  <dcterms:created xsi:type="dcterms:W3CDTF">2020-01-22T14:08:00Z</dcterms:created>
  <dcterms:modified xsi:type="dcterms:W3CDTF">2022-01-05T13:50:00Z</dcterms:modified>
</cp:coreProperties>
</file>